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7DD0" w14:textId="77777777" w:rsidR="00F2168E" w:rsidRDefault="00F2168E" w:rsidP="00F707AC">
      <w:pPr>
        <w:spacing w:before="120"/>
        <w:ind w:left="142"/>
        <w:jc w:val="right"/>
        <w:rPr>
          <w:rFonts w:ascii="Calibri" w:hAnsi="Calibri" w:cs="Calibri"/>
          <w:b/>
          <w:sz w:val="24"/>
          <w:szCs w:val="24"/>
          <w:u w:val="single"/>
          <w:lang w:val="el-GR"/>
        </w:rPr>
      </w:pPr>
    </w:p>
    <w:p w14:paraId="1A061D23" w14:textId="2CDF9972" w:rsidR="002D77AC" w:rsidRPr="00F707AC" w:rsidRDefault="002D77AC" w:rsidP="00F707AC">
      <w:pPr>
        <w:spacing w:before="120"/>
        <w:ind w:left="142"/>
        <w:jc w:val="right"/>
        <w:rPr>
          <w:rFonts w:ascii="Calibri" w:hAnsi="Calibri" w:cs="Calibri"/>
          <w:b/>
          <w:sz w:val="24"/>
          <w:szCs w:val="24"/>
          <w:u w:val="single"/>
          <w:lang w:val="el-GR"/>
        </w:rPr>
      </w:pPr>
      <w:r w:rsidRPr="00F707AC">
        <w:rPr>
          <w:rFonts w:ascii="Calibri" w:hAnsi="Calibri" w:cs="Calibri"/>
          <w:b/>
          <w:sz w:val="24"/>
          <w:szCs w:val="24"/>
          <w:u w:val="single"/>
          <w:lang w:val="el-GR"/>
        </w:rPr>
        <w:t xml:space="preserve">Παράρτημα </w:t>
      </w:r>
      <w:r w:rsidRPr="00F707AC">
        <w:rPr>
          <w:rFonts w:ascii="Calibri" w:hAnsi="Calibri" w:cs="Calibri"/>
          <w:b/>
          <w:sz w:val="24"/>
          <w:szCs w:val="24"/>
          <w:u w:val="single"/>
        </w:rPr>
        <w:t>I</w:t>
      </w:r>
    </w:p>
    <w:p w14:paraId="77987DE3" w14:textId="2D590743" w:rsidR="002D77AC" w:rsidRPr="00D97B19" w:rsidRDefault="00D97B19" w:rsidP="00F707AC">
      <w:pPr>
        <w:spacing w:before="120"/>
        <w:ind w:left="142"/>
        <w:jc w:val="right"/>
        <w:rPr>
          <w:rFonts w:ascii="Calibri" w:hAnsi="Calibri" w:cs="Calibri"/>
          <w:b/>
          <w:sz w:val="28"/>
          <w:szCs w:val="28"/>
          <w:lang w:val="el-GR"/>
        </w:rPr>
      </w:pPr>
      <w:r w:rsidRPr="00D97B19">
        <w:rPr>
          <w:rFonts w:ascii="Calibri" w:hAnsi="Calibri" w:cs="Calibri"/>
          <w:b/>
          <w:sz w:val="28"/>
          <w:szCs w:val="28"/>
          <w:lang w:val="el-GR"/>
        </w:rPr>
        <w:t xml:space="preserve">Αναλυτική περιγραφή των παραδοτέων </w:t>
      </w:r>
    </w:p>
    <w:tbl>
      <w:tblPr>
        <w:tblW w:w="96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2D77AC" w:rsidRPr="008333BF" w14:paraId="1889F29A" w14:textId="77777777" w:rsidTr="009977DF">
        <w:tc>
          <w:tcPr>
            <w:tcW w:w="675" w:type="dxa"/>
            <w:shd w:val="clear" w:color="auto" w:fill="F2F2F2"/>
          </w:tcPr>
          <w:p w14:paraId="302253D1" w14:textId="77777777" w:rsidR="002D77AC" w:rsidRPr="008333BF" w:rsidRDefault="002D77AC" w:rsidP="00D97B19">
            <w:pPr>
              <w:spacing w:before="120"/>
              <w:jc w:val="center"/>
              <w:rPr>
                <w:rFonts w:asciiTheme="minorHAnsi" w:hAnsiTheme="minorHAnsi" w:cstheme="minorHAnsi"/>
                <w:bCs/>
                <w:sz w:val="22"/>
                <w:szCs w:val="22"/>
              </w:rPr>
            </w:pPr>
            <w:r w:rsidRPr="008333BF">
              <w:rPr>
                <w:rFonts w:asciiTheme="minorHAnsi" w:hAnsiTheme="minorHAnsi" w:cstheme="minorHAnsi"/>
                <w:bCs/>
                <w:sz w:val="22"/>
                <w:szCs w:val="22"/>
                <w:lang w:val="el-GR"/>
              </w:rPr>
              <w:t>Α/</w:t>
            </w:r>
            <w:r w:rsidRPr="008333BF">
              <w:rPr>
                <w:rFonts w:asciiTheme="minorHAnsi" w:hAnsiTheme="minorHAnsi" w:cstheme="minorHAnsi"/>
                <w:bCs/>
                <w:sz w:val="22"/>
                <w:szCs w:val="22"/>
              </w:rPr>
              <w:t>A</w:t>
            </w:r>
          </w:p>
        </w:tc>
        <w:tc>
          <w:tcPr>
            <w:tcW w:w="8959" w:type="dxa"/>
            <w:shd w:val="clear" w:color="auto" w:fill="F2F2F2"/>
          </w:tcPr>
          <w:p w14:paraId="2FF65790" w14:textId="20FF1DCB" w:rsidR="002D77AC" w:rsidRPr="008333BF" w:rsidRDefault="002D77AC" w:rsidP="00D97B19">
            <w:pPr>
              <w:spacing w:before="120"/>
              <w:jc w:val="center"/>
              <w:rPr>
                <w:rFonts w:asciiTheme="minorHAnsi" w:hAnsiTheme="minorHAnsi" w:cstheme="minorHAnsi"/>
                <w:bCs/>
                <w:sz w:val="22"/>
                <w:szCs w:val="22"/>
                <w:lang w:val="el-GR"/>
              </w:rPr>
            </w:pPr>
            <w:r w:rsidRPr="008333BF">
              <w:rPr>
                <w:rFonts w:asciiTheme="minorHAnsi" w:hAnsiTheme="minorHAnsi" w:cstheme="minorHAnsi"/>
                <w:bCs/>
                <w:sz w:val="22"/>
                <w:szCs w:val="22"/>
                <w:lang w:val="el-GR"/>
              </w:rPr>
              <w:t>Περιγραφή</w:t>
            </w:r>
            <w:r w:rsidR="00D97B19" w:rsidRPr="008333BF">
              <w:rPr>
                <w:rFonts w:asciiTheme="minorHAnsi" w:hAnsiTheme="minorHAnsi" w:cstheme="minorHAnsi"/>
                <w:bCs/>
                <w:sz w:val="22"/>
                <w:szCs w:val="22"/>
                <w:lang w:val="el-GR"/>
              </w:rPr>
              <w:t xml:space="preserve"> Παραδοτέου/υπηρεσίας</w:t>
            </w:r>
          </w:p>
        </w:tc>
      </w:tr>
      <w:tr w:rsidR="002D77AC" w:rsidRPr="002B277E" w14:paraId="26709455" w14:textId="77777777" w:rsidTr="009977DF">
        <w:tc>
          <w:tcPr>
            <w:tcW w:w="675" w:type="dxa"/>
            <w:shd w:val="clear" w:color="auto" w:fill="auto"/>
          </w:tcPr>
          <w:p w14:paraId="7F2CB5C3" w14:textId="349C759B" w:rsidR="002D77AC" w:rsidRPr="008333BF" w:rsidRDefault="002D77AC" w:rsidP="009506B2">
            <w:pPr>
              <w:spacing w:before="120"/>
              <w:jc w:val="both"/>
              <w:rPr>
                <w:rFonts w:asciiTheme="minorHAnsi" w:hAnsiTheme="minorHAnsi" w:cstheme="minorHAnsi"/>
                <w:bCs/>
                <w:sz w:val="22"/>
                <w:szCs w:val="22"/>
                <w:lang w:val="el-GR"/>
              </w:rPr>
            </w:pPr>
            <w:r w:rsidRPr="008333BF">
              <w:rPr>
                <w:rFonts w:asciiTheme="minorHAnsi" w:hAnsiTheme="minorHAnsi" w:cstheme="minorHAnsi"/>
                <w:bCs/>
                <w:sz w:val="22"/>
                <w:szCs w:val="22"/>
                <w:lang w:val="el-GR"/>
              </w:rPr>
              <w:t>1</w:t>
            </w:r>
          </w:p>
        </w:tc>
        <w:tc>
          <w:tcPr>
            <w:tcW w:w="8959" w:type="dxa"/>
            <w:shd w:val="clear" w:color="auto" w:fill="auto"/>
          </w:tcPr>
          <w:p w14:paraId="34D8D6D7" w14:textId="0EB6A62F" w:rsidR="002943DD" w:rsidRPr="008333BF" w:rsidRDefault="002943DD" w:rsidP="002943DD">
            <w:pPr>
              <w:spacing w:before="120"/>
              <w:jc w:val="both"/>
              <w:rPr>
                <w:rFonts w:asciiTheme="minorHAnsi" w:hAnsiTheme="minorHAnsi" w:cstheme="minorHAnsi"/>
                <w:bCs/>
                <w:sz w:val="22"/>
                <w:szCs w:val="22"/>
                <w:lang w:val="el-GR"/>
              </w:rPr>
            </w:pPr>
            <w:r w:rsidRPr="008333BF">
              <w:rPr>
                <w:rFonts w:asciiTheme="minorHAnsi" w:hAnsiTheme="minorHAnsi" w:cstheme="minorHAnsi"/>
                <w:bCs/>
                <w:sz w:val="22"/>
                <w:szCs w:val="22"/>
                <w:lang w:val="el-GR"/>
              </w:rPr>
              <w:t xml:space="preserve">Διοργάνωση </w:t>
            </w:r>
            <w:r w:rsidR="00CA7E88" w:rsidRPr="008333BF">
              <w:rPr>
                <w:rFonts w:asciiTheme="minorHAnsi" w:hAnsiTheme="minorHAnsi" w:cstheme="minorHAnsi"/>
                <w:bCs/>
                <w:sz w:val="22"/>
                <w:szCs w:val="22"/>
                <w:lang w:val="el-GR"/>
              </w:rPr>
              <w:t>B2B συναντήσεων μεταξύ μικρομεσαίων ελληνικών και αραβικών εταιρειών</w:t>
            </w:r>
            <w:r w:rsidRPr="008333BF">
              <w:rPr>
                <w:rFonts w:asciiTheme="minorHAnsi" w:hAnsiTheme="minorHAnsi" w:cstheme="minorHAnsi"/>
                <w:bCs/>
                <w:sz w:val="22"/>
                <w:szCs w:val="22"/>
                <w:lang w:val="el-GR"/>
              </w:rPr>
              <w:t xml:space="preserve"> που να περιλαμβάνει:</w:t>
            </w:r>
          </w:p>
          <w:p w14:paraId="510E4670" w14:textId="77777777"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Αίθουσα εκδήλωσης χωρητικότητας τουλάχιστον 50 ατόμων στην περιοχή της Αθήνας.</w:t>
            </w:r>
          </w:p>
          <w:p w14:paraId="2BB11E51" w14:textId="77777777"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 xml:space="preserve">Παροχή οπτικοακουστικού εξοπλισμού για δυνατότητα παρουσίασης από ομιλητές/παρουσιαστές καθώς και μικροφωνική εγκατάσταση. </w:t>
            </w:r>
          </w:p>
          <w:p w14:paraId="668F5F9D" w14:textId="1C093E70"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 xml:space="preserve">Εκτυπώσεις που θα συνοδεύσουν την εκδήλωση (banners, </w:t>
            </w:r>
            <w:r w:rsidRPr="008333BF">
              <w:rPr>
                <w:rFonts w:asciiTheme="minorHAnsi" w:hAnsiTheme="minorHAnsi" w:cstheme="minorHAnsi"/>
                <w:bCs/>
                <w:lang w:val="en-US"/>
              </w:rPr>
              <w:t>posters</w:t>
            </w:r>
            <w:r w:rsidRPr="008333BF">
              <w:rPr>
                <w:rFonts w:asciiTheme="minorHAnsi" w:hAnsiTheme="minorHAnsi" w:cstheme="minorHAnsi"/>
                <w:bCs/>
              </w:rPr>
              <w:t xml:space="preserve">, </w:t>
            </w:r>
            <w:r w:rsidRPr="008333BF">
              <w:rPr>
                <w:rFonts w:asciiTheme="minorHAnsi" w:hAnsiTheme="minorHAnsi" w:cstheme="minorHAnsi"/>
                <w:bCs/>
                <w:lang w:val="en-US"/>
              </w:rPr>
              <w:t>leaflets</w:t>
            </w:r>
            <w:r w:rsidRPr="008333BF">
              <w:rPr>
                <w:rFonts w:asciiTheme="minorHAnsi" w:hAnsiTheme="minorHAnsi" w:cstheme="minorHAnsi"/>
                <w:bCs/>
              </w:rPr>
              <w:t>)</w:t>
            </w:r>
          </w:p>
          <w:p w14:paraId="24655DD7" w14:textId="51B91288" w:rsidR="00E43798" w:rsidRPr="008333BF" w:rsidRDefault="00E43798" w:rsidP="00E43798">
            <w:pPr>
              <w:pStyle w:val="ListParagraph"/>
              <w:numPr>
                <w:ilvl w:val="1"/>
                <w:numId w:val="1"/>
              </w:numPr>
              <w:jc w:val="both"/>
              <w:rPr>
                <w:rFonts w:asciiTheme="minorHAnsi" w:hAnsiTheme="minorHAnsi" w:cstheme="minorHAnsi"/>
                <w:bCs/>
              </w:rPr>
            </w:pPr>
            <w:r w:rsidRPr="008333BF">
              <w:rPr>
                <w:rFonts w:asciiTheme="minorHAnsi" w:hAnsiTheme="minorHAnsi" w:cstheme="minorHAnsi"/>
                <w:bCs/>
              </w:rPr>
              <w:t>Εκτύπωση 150 έγχρωμων φυλλαδίων (leaflet), 2 όψεων, μεγέθους Α4, τρίπτυχο, σε χαρτί βάρους 135 gr,</w:t>
            </w:r>
          </w:p>
          <w:p w14:paraId="4408DEDF" w14:textId="68F4E3DF" w:rsidR="00E43798" w:rsidRPr="008333BF" w:rsidRDefault="00E43798" w:rsidP="00E43798">
            <w:pPr>
              <w:pStyle w:val="ListParagraph"/>
              <w:numPr>
                <w:ilvl w:val="1"/>
                <w:numId w:val="1"/>
              </w:numPr>
              <w:jc w:val="both"/>
              <w:rPr>
                <w:rFonts w:asciiTheme="minorHAnsi" w:hAnsiTheme="minorHAnsi" w:cstheme="minorHAnsi"/>
                <w:bCs/>
              </w:rPr>
            </w:pPr>
            <w:r w:rsidRPr="008333BF">
              <w:rPr>
                <w:rFonts w:asciiTheme="minorHAnsi" w:hAnsiTheme="minorHAnsi" w:cstheme="minorHAnsi"/>
                <w:bCs/>
              </w:rPr>
              <w:t>Εκτύπωση 2 έγχρωμων αφισών (posters), μεγέθους Α2 διάσταση 42Χ59,4 εκ., χαρτί βάρους 140 gr,</w:t>
            </w:r>
          </w:p>
          <w:p w14:paraId="15D6DA93" w14:textId="37CD52EB" w:rsidR="00E43798" w:rsidRPr="008333BF" w:rsidRDefault="00E43798" w:rsidP="00E43798">
            <w:pPr>
              <w:pStyle w:val="ListParagraph"/>
              <w:numPr>
                <w:ilvl w:val="1"/>
                <w:numId w:val="1"/>
              </w:numPr>
              <w:jc w:val="both"/>
              <w:rPr>
                <w:rFonts w:asciiTheme="minorHAnsi" w:hAnsiTheme="minorHAnsi" w:cstheme="minorHAnsi"/>
                <w:bCs/>
              </w:rPr>
            </w:pPr>
            <w:r w:rsidRPr="008333BF">
              <w:rPr>
                <w:rFonts w:asciiTheme="minorHAnsi" w:hAnsiTheme="minorHAnsi" w:cstheme="minorHAnsi"/>
                <w:bCs/>
              </w:rPr>
              <w:t>Εκτύπωση 1 έγχρωμου ρολού - πανό (banners), διαστάσεων 85Χ200 cm σε πολυπροπυλένιο (εκτύπωση και μηχανισμός), τόπος παράδοσης των 3.1-3.3 οι εγκαταστάσεις του ΚΑΠΕ στο Πικέρμι</w:t>
            </w:r>
          </w:p>
          <w:p w14:paraId="17634DC1" w14:textId="7C39AB5C"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 xml:space="preserve">Βιντεοσκοπική και φωτογραφική κάλυψη της εκδήλωση </w:t>
            </w:r>
          </w:p>
          <w:p w14:paraId="2CA9B033" w14:textId="77777777" w:rsidR="00E43798" w:rsidRPr="008333BF" w:rsidRDefault="00E43798" w:rsidP="00E43798">
            <w:pPr>
              <w:pStyle w:val="ListParagraph"/>
              <w:numPr>
                <w:ilvl w:val="1"/>
                <w:numId w:val="1"/>
              </w:numPr>
              <w:jc w:val="both"/>
              <w:rPr>
                <w:rFonts w:asciiTheme="minorHAnsi" w:hAnsiTheme="minorHAnsi" w:cstheme="minorHAnsi"/>
                <w:bCs/>
              </w:rPr>
            </w:pPr>
            <w:r w:rsidRPr="008333BF">
              <w:rPr>
                <w:rFonts w:asciiTheme="minorHAnsi" w:hAnsiTheme="minorHAnsi" w:cstheme="minorHAnsi"/>
                <w:bCs/>
              </w:rPr>
              <w:t xml:space="preserve"> Τεχνική επιμέλεια, σκηνοθεσία, επεξεργασία κειμένων και υλικού, μοντάζ και επιμέλεια ήχου για την παραγωγή ενός (1) Video συνολικής χρονικής διάρκειας 2,5 ωφέλιμων λεπτών (μετά το μοντάζ). Θα βιντεοσκοπηθούν δραστηριότητες, δράσεις και συνεντεύξεις με ειδικούς και συμμετέχοντες καθόλη την διάρκεια της εκδήλωσης, όπου θα παρουσιαστούν οι επιλεγμένες μικρομεσαίες επιχειρήσεις από την κάθε πιλοτική περιοχή καθώς και οι δράσεις του έργου. Ο τόπος και ο χώρος λήψεων θα ορισθεί από την Αναθέτουσα Αρχή. Οι λήψεις κινούμενης εικόνας (video) και η επεξεργασία θα γίνουν κατ’ ελάχιστον σύμφωνα με τα παρακάτω τεχνικά κριτήρια και προϋποθέσεις: </w:t>
            </w:r>
          </w:p>
          <w:p w14:paraId="04D9600F" w14:textId="77777777" w:rsidR="00E43798" w:rsidRPr="008333BF" w:rsidRDefault="00E43798" w:rsidP="00E43798">
            <w:pPr>
              <w:pStyle w:val="ListParagraph"/>
              <w:ind w:left="792"/>
              <w:jc w:val="both"/>
              <w:rPr>
                <w:rFonts w:asciiTheme="minorHAnsi" w:hAnsiTheme="minorHAnsi" w:cstheme="minorHAnsi"/>
                <w:bCs/>
              </w:rPr>
            </w:pPr>
            <w:r w:rsidRPr="008333BF">
              <w:rPr>
                <w:rFonts w:asciiTheme="minorHAnsi" w:hAnsiTheme="minorHAnsi" w:cstheme="minorHAnsi"/>
                <w:bCs/>
              </w:rPr>
              <w:t>• Ψηφιακή μορφή σε αρχεία avi και MPEG-4 Part 14 (MP4)</w:t>
            </w:r>
          </w:p>
          <w:p w14:paraId="2246D686" w14:textId="77777777" w:rsidR="00E43798" w:rsidRPr="008333BF" w:rsidRDefault="00E43798" w:rsidP="00E43798">
            <w:pPr>
              <w:pStyle w:val="ListParagraph"/>
              <w:ind w:left="792"/>
              <w:jc w:val="both"/>
              <w:rPr>
                <w:rFonts w:asciiTheme="minorHAnsi" w:hAnsiTheme="minorHAnsi" w:cstheme="minorHAnsi"/>
                <w:bCs/>
              </w:rPr>
            </w:pPr>
            <w:r w:rsidRPr="008333BF">
              <w:rPr>
                <w:rFonts w:asciiTheme="minorHAnsi" w:hAnsiTheme="minorHAnsi" w:cstheme="minorHAnsi"/>
                <w:bCs/>
              </w:rPr>
              <w:t>• Αναλογία 16:9 με ανάλυση 1080p</w:t>
            </w:r>
          </w:p>
          <w:p w14:paraId="12A09991" w14:textId="77777777" w:rsidR="00E43798" w:rsidRPr="008333BF" w:rsidRDefault="00E43798" w:rsidP="00E43798">
            <w:pPr>
              <w:pStyle w:val="ListParagraph"/>
              <w:ind w:left="792"/>
              <w:jc w:val="both"/>
              <w:rPr>
                <w:rFonts w:asciiTheme="minorHAnsi" w:hAnsiTheme="minorHAnsi" w:cstheme="minorHAnsi"/>
                <w:bCs/>
              </w:rPr>
            </w:pPr>
            <w:r w:rsidRPr="008333BF">
              <w:rPr>
                <w:rFonts w:asciiTheme="minorHAnsi" w:hAnsiTheme="minorHAnsi" w:cstheme="minorHAnsi"/>
                <w:bCs/>
              </w:rPr>
              <w:t xml:space="preserve">• Μορφή optimized για χρήση σε social media </w:t>
            </w:r>
          </w:p>
          <w:p w14:paraId="362FFCB5" w14:textId="77777777" w:rsidR="00E43798" w:rsidRPr="008333BF" w:rsidRDefault="00E43798" w:rsidP="00E43798">
            <w:pPr>
              <w:pStyle w:val="ListParagraph"/>
              <w:ind w:left="792"/>
              <w:jc w:val="both"/>
              <w:rPr>
                <w:rFonts w:asciiTheme="minorHAnsi" w:hAnsiTheme="minorHAnsi" w:cstheme="minorHAnsi"/>
                <w:bCs/>
              </w:rPr>
            </w:pPr>
            <w:r w:rsidRPr="008333BF">
              <w:rPr>
                <w:rFonts w:asciiTheme="minorHAnsi" w:hAnsiTheme="minorHAnsi" w:cstheme="minorHAnsi"/>
                <w:bCs/>
              </w:rPr>
              <w:t>• Σήμα ήχου: stereo</w:t>
            </w:r>
          </w:p>
          <w:p w14:paraId="57AAAB8B" w14:textId="4DE7C847"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 xml:space="preserve">Catering, </w:t>
            </w:r>
            <w:r w:rsidR="00E252BF" w:rsidRPr="008333BF">
              <w:rPr>
                <w:rFonts w:asciiTheme="minorHAnsi" w:hAnsiTheme="minorHAnsi" w:cstheme="minorHAnsi"/>
                <w:bCs/>
              </w:rPr>
              <w:t xml:space="preserve">στην  εκδήλωση θα υπάρχουν </w:t>
            </w:r>
            <w:r w:rsidR="002B277E" w:rsidRPr="008333BF">
              <w:rPr>
                <w:rFonts w:asciiTheme="minorHAnsi" w:hAnsiTheme="minorHAnsi" w:cstheme="minorHAnsi"/>
                <w:bCs/>
              </w:rPr>
              <w:t xml:space="preserve">ένα (1) διάλειμμα </w:t>
            </w:r>
            <w:r w:rsidRPr="008333BF">
              <w:rPr>
                <w:rFonts w:asciiTheme="minorHAnsi" w:hAnsiTheme="minorHAnsi" w:cstheme="minorHAnsi"/>
                <w:bCs/>
              </w:rPr>
              <w:t>για καφέ και ένα (1) διάλειμμα για ελαφρύ γεύμα.</w:t>
            </w:r>
          </w:p>
          <w:p w14:paraId="4983E9CF" w14:textId="77777777"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Οργάνωση δικτύωσης και συναντήσεων Β2Β μεταξύ συνέδρων</w:t>
            </w:r>
          </w:p>
          <w:p w14:paraId="64AD7CC5" w14:textId="77777777"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Υποδοχή καλεσμένων επιχειρηματιών/ομιλητών</w:t>
            </w:r>
          </w:p>
          <w:p w14:paraId="6E9871D9" w14:textId="77777777"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Αποστολή προσκλήσεων συνέδρων από την ελληνική και αραβική πλευρά</w:t>
            </w:r>
          </w:p>
          <w:p w14:paraId="02EBC710" w14:textId="77777777" w:rsidR="00E43798"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Γραμματειακή υποστήριξη και διαχείριση (παρακολούθηση διαδικασίας έκδοσης visa, επαφές με τα αραβικά Επιμελητήρια κ.λπ.)</w:t>
            </w:r>
          </w:p>
          <w:p w14:paraId="71460667" w14:textId="21B6F543" w:rsidR="002D77AC" w:rsidRPr="008333BF" w:rsidRDefault="00E43798" w:rsidP="00E43798">
            <w:pPr>
              <w:pStyle w:val="ListParagraph"/>
              <w:numPr>
                <w:ilvl w:val="0"/>
                <w:numId w:val="1"/>
              </w:numPr>
              <w:jc w:val="both"/>
              <w:rPr>
                <w:rFonts w:asciiTheme="minorHAnsi" w:hAnsiTheme="minorHAnsi" w:cstheme="minorHAnsi"/>
                <w:bCs/>
              </w:rPr>
            </w:pPr>
            <w:r w:rsidRPr="008333BF">
              <w:rPr>
                <w:rFonts w:asciiTheme="minorHAnsi" w:hAnsiTheme="minorHAnsi" w:cstheme="minorHAnsi"/>
                <w:bCs/>
              </w:rPr>
              <w:t>Μεταφορά σε εγκαταστάσεις μελών της ΕΒΗΕ, εντός Αττικής.</w:t>
            </w:r>
          </w:p>
        </w:tc>
      </w:tr>
    </w:tbl>
    <w:p w14:paraId="6AA4530C" w14:textId="77777777" w:rsidR="00792CBF" w:rsidRDefault="00792CBF" w:rsidP="00F707AC">
      <w:pPr>
        <w:spacing w:before="120"/>
        <w:ind w:left="142"/>
        <w:jc w:val="right"/>
        <w:rPr>
          <w:rFonts w:ascii="Calibri" w:hAnsi="Calibri" w:cs="Calibri"/>
          <w:b/>
          <w:bCs/>
          <w:sz w:val="24"/>
          <w:szCs w:val="24"/>
          <w:u w:val="single"/>
          <w:lang w:val="el-GR"/>
        </w:rPr>
      </w:pPr>
    </w:p>
    <w:p w14:paraId="75089E82" w14:textId="77777777" w:rsidR="00886419" w:rsidRDefault="00886419" w:rsidP="00F707AC">
      <w:pPr>
        <w:spacing w:before="120"/>
        <w:ind w:left="142"/>
        <w:jc w:val="right"/>
        <w:rPr>
          <w:rFonts w:ascii="Calibri" w:hAnsi="Calibri" w:cs="Calibri"/>
          <w:b/>
          <w:bCs/>
          <w:sz w:val="24"/>
          <w:szCs w:val="24"/>
          <w:u w:val="single"/>
          <w:lang w:val="el-GR"/>
        </w:rPr>
      </w:pPr>
    </w:p>
    <w:sectPr w:rsidR="00886419" w:rsidSect="00F2168E">
      <w:footerReference w:type="even" r:id="rId7"/>
      <w:footerReference w:type="default" r:id="rId8"/>
      <w:headerReference w:type="first" r:id="rId9"/>
      <w:footerReference w:type="first" r:id="rId10"/>
      <w:pgSz w:w="11907" w:h="16840"/>
      <w:pgMar w:top="1135" w:right="1440" w:bottom="993" w:left="1134" w:header="720" w:footer="73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C776" w14:textId="77777777" w:rsidR="00275DA9" w:rsidRDefault="00275DA9">
      <w:r>
        <w:separator/>
      </w:r>
    </w:p>
  </w:endnote>
  <w:endnote w:type="continuationSeparator" w:id="0">
    <w:p w14:paraId="1DB07765" w14:textId="77777777" w:rsidR="00275DA9" w:rsidRDefault="0027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A9B4" w14:textId="77777777" w:rsidR="007E2186" w:rsidRDefault="002D77AC" w:rsidP="00E60F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DEE4EB5" w14:textId="77777777" w:rsidR="007E2186" w:rsidRDefault="00275DA9" w:rsidP="00664C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3944" w14:textId="5329D1FE" w:rsidR="007E2186" w:rsidRDefault="002D77AC" w:rsidP="006C67C0">
    <w:pPr>
      <w:pStyle w:val="Footer"/>
      <w:framePr w:wrap="around" w:vAnchor="text" w:hAnchor="page" w:x="5821" w:y="529"/>
      <w:rPr>
        <w:rStyle w:val="PageNumber"/>
      </w:rPr>
    </w:pPr>
    <w:r>
      <w:rPr>
        <w:rStyle w:val="PageNumber"/>
      </w:rPr>
      <w:fldChar w:fldCharType="begin"/>
    </w:r>
    <w:r>
      <w:rPr>
        <w:rStyle w:val="PageNumber"/>
      </w:rPr>
      <w:instrText xml:space="preserve">PAGE  </w:instrText>
    </w:r>
    <w:r>
      <w:rPr>
        <w:rStyle w:val="PageNumber"/>
      </w:rPr>
      <w:fldChar w:fldCharType="separate"/>
    </w:r>
    <w:r w:rsidR="00C5182D">
      <w:rPr>
        <w:rStyle w:val="PageNumber"/>
        <w:noProof/>
      </w:rPr>
      <w:t>3</w:t>
    </w:r>
    <w:r>
      <w:rPr>
        <w:rStyle w:val="PageNumber"/>
      </w:rPr>
      <w:fldChar w:fldCharType="end"/>
    </w:r>
  </w:p>
  <w:p w14:paraId="3017D379" w14:textId="77777777" w:rsidR="006C67C0" w:rsidRPr="00CE4997" w:rsidRDefault="002D77AC" w:rsidP="006C67C0">
    <w:pPr>
      <w:pStyle w:val="Footer"/>
      <w:tabs>
        <w:tab w:val="clear" w:pos="4153"/>
        <w:tab w:val="clear" w:pos="8306"/>
        <w:tab w:val="left" w:pos="0"/>
        <w:tab w:val="center" w:pos="3969"/>
        <w:tab w:val="right" w:pos="8313"/>
        <w:tab w:val="left" w:pos="8364"/>
      </w:tabs>
      <w:jc w:val="center"/>
      <w:rPr>
        <w:lang w:val="el-GR"/>
      </w:rPr>
    </w:pPr>
    <w:r w:rsidRPr="00CE4997">
      <w:rPr>
        <w:lang w:val="el-GR"/>
      </w:rPr>
      <w:tab/>
    </w:r>
    <w:r w:rsidRPr="00CE4997">
      <w:rPr>
        <w:lang w:val="el-GR"/>
      </w:rPr>
      <w:tab/>
    </w:r>
  </w:p>
  <w:p w14:paraId="1D18A6C5" w14:textId="77777777" w:rsidR="007E2186" w:rsidRPr="002E541E" w:rsidRDefault="00275DA9" w:rsidP="006C67C0">
    <w:pPr>
      <w:pStyle w:val="Footer"/>
      <w:ind w:right="360"/>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55E8" w14:textId="77777777" w:rsidR="006C67C0" w:rsidRPr="006C67C0" w:rsidRDefault="002D77AC" w:rsidP="00165273">
    <w:pPr>
      <w:pStyle w:val="Footer"/>
      <w:tabs>
        <w:tab w:val="clear" w:pos="4153"/>
        <w:tab w:val="left" w:pos="0"/>
        <w:tab w:val="center" w:pos="3969"/>
        <w:tab w:val="left" w:pos="8364"/>
      </w:tabs>
      <w:rPr>
        <w:lang w:val="el-GR"/>
      </w:rPr>
    </w:pPr>
    <w:r w:rsidRPr="00CE4997">
      <w:rPr>
        <w:lang w:val="el-G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2BC1" w14:textId="77777777" w:rsidR="00275DA9" w:rsidRDefault="00275DA9">
      <w:r>
        <w:separator/>
      </w:r>
    </w:p>
  </w:footnote>
  <w:footnote w:type="continuationSeparator" w:id="0">
    <w:p w14:paraId="1DB415BA" w14:textId="77777777" w:rsidR="00275DA9" w:rsidRDefault="0027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E741" w14:textId="000C2233" w:rsidR="00BB0B4B" w:rsidRDefault="004B3D71" w:rsidP="00BB0B4B">
    <w:pPr>
      <w:pStyle w:val="Header"/>
      <w:tabs>
        <w:tab w:val="clear" w:pos="4153"/>
        <w:tab w:val="clear" w:pos="8306"/>
        <w:tab w:val="left" w:pos="6405"/>
      </w:tabs>
    </w:pPr>
    <w:r>
      <w:rPr>
        <w:noProof/>
      </w:rPr>
      <w:drawing>
        <wp:anchor distT="0" distB="0" distL="114300" distR="114300" simplePos="0" relativeHeight="251660288" behindDoc="0" locked="0" layoutInCell="1" allowOverlap="1" wp14:anchorId="24753466" wp14:editId="45CB88CC">
          <wp:simplePos x="0" y="0"/>
          <wp:positionH relativeFrom="column">
            <wp:posOffset>2699385</wp:posOffset>
          </wp:positionH>
          <wp:positionV relativeFrom="paragraph">
            <wp:posOffset>-152400</wp:posOffset>
          </wp:positionV>
          <wp:extent cx="3571875" cy="140462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71875" cy="1404620"/>
                  </a:xfrm>
                  <a:prstGeom prst="rect">
                    <a:avLst/>
                  </a:prstGeom>
                </pic:spPr>
              </pic:pic>
            </a:graphicData>
          </a:graphic>
          <wp14:sizeRelH relativeFrom="margin">
            <wp14:pctWidth>0</wp14:pctWidth>
          </wp14:sizeRelH>
          <wp14:sizeRelV relativeFrom="margin">
            <wp14:pctHeight>0</wp14:pctHeight>
          </wp14:sizeRelV>
        </wp:anchor>
      </w:drawing>
    </w:r>
    <w:r w:rsidR="002D77AC">
      <w:rPr>
        <w:noProof/>
        <w:lang w:val="el-GR" w:eastAsia="el-GR"/>
      </w:rPr>
      <w:drawing>
        <wp:anchor distT="0" distB="0" distL="114300" distR="114300" simplePos="0" relativeHeight="251659264" behindDoc="0" locked="0" layoutInCell="1" allowOverlap="1" wp14:anchorId="730DC371" wp14:editId="18613ED1">
          <wp:simplePos x="0" y="0"/>
          <wp:positionH relativeFrom="column">
            <wp:posOffset>-43180</wp:posOffset>
          </wp:positionH>
          <wp:positionV relativeFrom="paragraph">
            <wp:posOffset>59690</wp:posOffset>
          </wp:positionV>
          <wp:extent cx="2409190" cy="377825"/>
          <wp:effectExtent l="0" t="0" r="0" b="3175"/>
          <wp:wrapNone/>
          <wp:docPr id="46" name="Picture 46" descr="C:\Users\Eleni\Desktop\TO SORT OUT\CRES_logo\CRES_full_nam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i\Desktop\TO SORT OUT\CRES_logo\CRES_full_name_E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19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D77AC">
      <w:tab/>
    </w:r>
  </w:p>
  <w:p w14:paraId="13C86456" w14:textId="77777777" w:rsidR="00F62899" w:rsidRDefault="0027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22E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20735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AC"/>
    <w:rsid w:val="000049C9"/>
    <w:rsid w:val="00066770"/>
    <w:rsid w:val="000F00D3"/>
    <w:rsid w:val="00152FE1"/>
    <w:rsid w:val="00167463"/>
    <w:rsid w:val="001844EF"/>
    <w:rsid w:val="00234EE1"/>
    <w:rsid w:val="00275DA9"/>
    <w:rsid w:val="002943DD"/>
    <w:rsid w:val="002B277E"/>
    <w:rsid w:val="002D0591"/>
    <w:rsid w:val="002D77AC"/>
    <w:rsid w:val="002E0128"/>
    <w:rsid w:val="0042769D"/>
    <w:rsid w:val="004B3D71"/>
    <w:rsid w:val="00595CA6"/>
    <w:rsid w:val="005A6F75"/>
    <w:rsid w:val="005D23AA"/>
    <w:rsid w:val="00654FB6"/>
    <w:rsid w:val="00667B2A"/>
    <w:rsid w:val="006C3B79"/>
    <w:rsid w:val="00751E9A"/>
    <w:rsid w:val="0079102F"/>
    <w:rsid w:val="00792CBF"/>
    <w:rsid w:val="008333BF"/>
    <w:rsid w:val="00855F98"/>
    <w:rsid w:val="00872D98"/>
    <w:rsid w:val="00886419"/>
    <w:rsid w:val="008E664C"/>
    <w:rsid w:val="00920094"/>
    <w:rsid w:val="009839CA"/>
    <w:rsid w:val="00986F5A"/>
    <w:rsid w:val="009977DF"/>
    <w:rsid w:val="00A641E7"/>
    <w:rsid w:val="00AC4FEB"/>
    <w:rsid w:val="00AF039C"/>
    <w:rsid w:val="00B028A6"/>
    <w:rsid w:val="00B0447B"/>
    <w:rsid w:val="00B22F3D"/>
    <w:rsid w:val="00BE1D3B"/>
    <w:rsid w:val="00C51719"/>
    <w:rsid w:val="00C5182D"/>
    <w:rsid w:val="00CA7E88"/>
    <w:rsid w:val="00D97B19"/>
    <w:rsid w:val="00DE4FE2"/>
    <w:rsid w:val="00E252BF"/>
    <w:rsid w:val="00E43798"/>
    <w:rsid w:val="00F04BFE"/>
    <w:rsid w:val="00F2168E"/>
    <w:rsid w:val="00F605B5"/>
    <w:rsid w:val="00F707AC"/>
    <w:rsid w:val="00FD3909"/>
    <w:rsid w:val="00FD66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5A46D"/>
  <w15:chartTrackingRefBased/>
  <w15:docId w15:val="{51B8FFB9-A79F-45A5-B211-261A287F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9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rsid w:val="002D77AC"/>
    <w:pPr>
      <w:tabs>
        <w:tab w:val="center" w:pos="4153"/>
        <w:tab w:val="right" w:pos="8306"/>
      </w:tabs>
    </w:pPr>
  </w:style>
  <w:style w:type="character" w:customStyle="1" w:styleId="HeaderChar">
    <w:name w:val="Header Char"/>
    <w:aliases w:val="hd Char"/>
    <w:basedOn w:val="DefaultParagraphFont"/>
    <w:link w:val="Header"/>
    <w:rsid w:val="002D77AC"/>
    <w:rPr>
      <w:rFonts w:ascii="Times New Roman" w:eastAsia="Times New Roman" w:hAnsi="Times New Roman" w:cs="Times New Roman"/>
      <w:sz w:val="20"/>
      <w:szCs w:val="20"/>
      <w:lang w:val="en-US"/>
    </w:rPr>
  </w:style>
  <w:style w:type="paragraph" w:styleId="Footer">
    <w:name w:val="footer"/>
    <w:basedOn w:val="Normal"/>
    <w:link w:val="FooterChar"/>
    <w:uiPriority w:val="99"/>
    <w:rsid w:val="002D77AC"/>
    <w:pPr>
      <w:tabs>
        <w:tab w:val="center" w:pos="4153"/>
        <w:tab w:val="right" w:pos="8306"/>
      </w:tabs>
    </w:pPr>
  </w:style>
  <w:style w:type="character" w:customStyle="1" w:styleId="FooterChar">
    <w:name w:val="Footer Char"/>
    <w:basedOn w:val="DefaultParagraphFont"/>
    <w:link w:val="Footer"/>
    <w:uiPriority w:val="99"/>
    <w:rsid w:val="002D77AC"/>
    <w:rPr>
      <w:rFonts w:ascii="Times New Roman" w:eastAsia="Times New Roman" w:hAnsi="Times New Roman" w:cs="Times New Roman"/>
      <w:sz w:val="20"/>
      <w:szCs w:val="20"/>
      <w:lang w:val="en-US"/>
    </w:rPr>
  </w:style>
  <w:style w:type="character" w:styleId="PageNumber">
    <w:name w:val="page number"/>
    <w:uiPriority w:val="99"/>
    <w:rsid w:val="002D77AC"/>
    <w:rPr>
      <w:rFonts w:cs="Times New Roman"/>
    </w:rPr>
  </w:style>
  <w:style w:type="paragraph" w:styleId="ListParagraph">
    <w:name w:val="List Paragraph"/>
    <w:basedOn w:val="Normal"/>
    <w:uiPriority w:val="34"/>
    <w:qFormat/>
    <w:rsid w:val="00E43798"/>
    <w:pPr>
      <w:ind w:left="720"/>
    </w:pPr>
    <w:rPr>
      <w:rFonts w:ascii="Calibri" w:eastAsia="Calibri" w:hAnsi="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332</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AKakagia</dc:creator>
  <cp:keywords/>
  <dc:description/>
  <cp:lastModifiedBy>AKakagia</cp:lastModifiedBy>
  <cp:revision>16</cp:revision>
  <dcterms:created xsi:type="dcterms:W3CDTF">2023-04-20T09:51:00Z</dcterms:created>
  <dcterms:modified xsi:type="dcterms:W3CDTF">2023-04-24T09:33:00Z</dcterms:modified>
</cp:coreProperties>
</file>